
<file path=[Content_Types].xml><?xml version="1.0" encoding="utf-8"?>
<Types xmlns="http://schemas.openxmlformats.org/package/2006/content-types">
  <Default Extension="bin" ContentType="application/vnd.ms-office.activeX"/>
  <Default Extension="png" ContentType="image/png"/>
  <Default Extension="svg" ContentType="image/svg+xml"/>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0AC0" w14:textId="77777777" w:rsidR="00475CDD" w:rsidRPr="007043FA" w:rsidRDefault="00475CDD" w:rsidP="00475CDD">
      <w:pPr>
        <w:spacing w:after="0"/>
        <w:jc w:val="center"/>
        <w:rPr>
          <w:b/>
          <w:color w:val="006666"/>
          <w:sz w:val="10"/>
          <w:szCs w:val="10"/>
          <w:lang w:val="en-GB"/>
        </w:rPr>
      </w:pPr>
    </w:p>
    <w:tbl>
      <w:tblPr>
        <w:tblStyle w:val="Tablaconcuadrcula"/>
        <w:tblW w:w="9634" w:type="dxa"/>
        <w:jc w:val="center"/>
        <w:tblLayout w:type="fixed"/>
        <w:tblCellMar>
          <w:top w:w="85" w:type="dxa"/>
          <w:bottom w:w="85" w:type="dxa"/>
        </w:tblCellMar>
        <w:tblLook w:val="04A0" w:firstRow="1" w:lastRow="0" w:firstColumn="1" w:lastColumn="0" w:noHBand="0" w:noVBand="1"/>
      </w:tblPr>
      <w:tblGrid>
        <w:gridCol w:w="2263"/>
        <w:gridCol w:w="7371"/>
      </w:tblGrid>
      <w:tr w:rsidR="00A76A66" w:rsidRPr="00FE6890" w14:paraId="44C25A19" w14:textId="77777777" w:rsidTr="007043FA">
        <w:trPr>
          <w:jc w:val="center"/>
        </w:trPr>
        <w:tc>
          <w:tcPr>
            <w:tcW w:w="2263" w:type="dxa"/>
            <w:shd w:val="clear" w:color="auto" w:fill="006666"/>
          </w:tcPr>
          <w:p w14:paraId="5519336D" w14:textId="77777777" w:rsidR="00A76A66" w:rsidRPr="006341B3" w:rsidRDefault="00475CDD" w:rsidP="00C83B0B">
            <w:pPr>
              <w:rPr>
                <w:b/>
                <w:color w:val="FFFFFF" w:themeColor="background1"/>
              </w:rPr>
            </w:pPr>
            <w:r>
              <w:rPr>
                <w:b/>
                <w:color w:val="FFFFFF" w:themeColor="background1"/>
              </w:rPr>
              <w:t>DATA CONTROLLER</w:t>
            </w:r>
          </w:p>
        </w:tc>
        <w:tc>
          <w:tcPr>
            <w:tcW w:w="7371" w:type="dxa"/>
          </w:tcPr>
          <w:p w14:paraId="42D6C7F8" w14:textId="77777777" w:rsidR="00A76A66" w:rsidRPr="00513B24" w:rsidRDefault="00475CDD" w:rsidP="00C83B0B">
            <w:pPr>
              <w:jc w:val="both"/>
              <w:rPr>
                <w:lang w:val="en-GB"/>
              </w:rPr>
            </w:pPr>
            <w:r w:rsidRPr="00513B24">
              <w:rPr>
                <w:lang w:val="en-GB"/>
              </w:rPr>
              <w:t>University of Cantabria General Manager</w:t>
            </w:r>
          </w:p>
        </w:tc>
      </w:tr>
      <w:tr w:rsidR="00A76A66" w:rsidRPr="00FE6890" w14:paraId="09BC028B" w14:textId="77777777" w:rsidTr="007043FA">
        <w:trPr>
          <w:trHeight w:val="269"/>
          <w:jc w:val="center"/>
        </w:trPr>
        <w:tc>
          <w:tcPr>
            <w:tcW w:w="2263" w:type="dxa"/>
            <w:vMerge w:val="restart"/>
            <w:shd w:val="clear" w:color="auto" w:fill="006666"/>
          </w:tcPr>
          <w:p w14:paraId="6F074539" w14:textId="77777777" w:rsidR="00A76A66" w:rsidRPr="006341B3" w:rsidRDefault="00475CDD" w:rsidP="00C83B0B">
            <w:pPr>
              <w:rPr>
                <w:b/>
                <w:color w:val="FFFFFF" w:themeColor="background1"/>
              </w:rPr>
            </w:pPr>
            <w:r>
              <w:rPr>
                <w:b/>
                <w:color w:val="FFFFFF" w:themeColor="background1"/>
              </w:rPr>
              <w:t>PURPOSE OF THE TREATMENT</w:t>
            </w:r>
          </w:p>
        </w:tc>
        <w:tc>
          <w:tcPr>
            <w:tcW w:w="7371" w:type="dxa"/>
            <w:vMerge w:val="restart"/>
          </w:tcPr>
          <w:p w14:paraId="04F79B3D" w14:textId="77777777" w:rsidR="00475CDD" w:rsidRPr="00513B24" w:rsidRDefault="00475CDD" w:rsidP="00475CDD">
            <w:pPr>
              <w:jc w:val="both"/>
              <w:rPr>
                <w:lang w:val="en-GB"/>
              </w:rPr>
            </w:pPr>
            <w:r w:rsidRPr="00513B24">
              <w:rPr>
                <w:lang w:val="en-GB"/>
              </w:rPr>
              <w:t>Administrative, economic and academic management of students enrolled and related to the University of Cantabria or in the process of enrolling in the different studies.</w:t>
            </w:r>
          </w:p>
          <w:p w14:paraId="2A0B2CA2" w14:textId="77777777" w:rsidR="00A76A66" w:rsidRPr="00513B24" w:rsidRDefault="00475CDD" w:rsidP="00475CDD">
            <w:pPr>
              <w:jc w:val="both"/>
              <w:rPr>
                <w:color w:val="00B0F0"/>
                <w:lang w:val="en-GB"/>
              </w:rPr>
            </w:pPr>
            <w:r w:rsidRPr="00513B24">
              <w:rPr>
                <w:lang w:val="en-GB"/>
              </w:rPr>
              <w:t>Management of scholarships and study grants. Quality surveys of the services of the institutional quality system.</w:t>
            </w:r>
          </w:p>
        </w:tc>
      </w:tr>
      <w:tr w:rsidR="00A76A66" w:rsidRPr="00FE6890" w14:paraId="701DBC4A" w14:textId="77777777" w:rsidTr="007043FA">
        <w:trPr>
          <w:trHeight w:val="269"/>
          <w:jc w:val="center"/>
        </w:trPr>
        <w:tc>
          <w:tcPr>
            <w:tcW w:w="2263" w:type="dxa"/>
            <w:vMerge/>
            <w:shd w:val="clear" w:color="auto" w:fill="006666"/>
          </w:tcPr>
          <w:p w14:paraId="0CBA511C" w14:textId="77777777" w:rsidR="00A76A66" w:rsidRPr="00513B24" w:rsidRDefault="00A76A66" w:rsidP="00C83B0B">
            <w:pPr>
              <w:rPr>
                <w:b/>
                <w:color w:val="FFFFFF" w:themeColor="background1"/>
                <w:lang w:val="en-GB"/>
              </w:rPr>
            </w:pPr>
          </w:p>
        </w:tc>
        <w:tc>
          <w:tcPr>
            <w:tcW w:w="7371" w:type="dxa"/>
            <w:vMerge/>
          </w:tcPr>
          <w:p w14:paraId="62C66501" w14:textId="77777777" w:rsidR="00A76A66" w:rsidRPr="00513B24" w:rsidRDefault="00A76A66" w:rsidP="00C83B0B">
            <w:pPr>
              <w:jc w:val="both"/>
              <w:rPr>
                <w:color w:val="0033CC"/>
                <w:lang w:val="en-GB"/>
              </w:rPr>
            </w:pPr>
          </w:p>
        </w:tc>
      </w:tr>
      <w:tr w:rsidR="00A76A66" w:rsidRPr="00FE6890" w14:paraId="1F326F5E" w14:textId="77777777" w:rsidTr="007043FA">
        <w:trPr>
          <w:trHeight w:val="269"/>
          <w:jc w:val="center"/>
        </w:trPr>
        <w:tc>
          <w:tcPr>
            <w:tcW w:w="2263" w:type="dxa"/>
            <w:vMerge/>
            <w:shd w:val="clear" w:color="auto" w:fill="006666"/>
          </w:tcPr>
          <w:p w14:paraId="3FCD566C" w14:textId="77777777" w:rsidR="00A76A66" w:rsidRPr="00513B24" w:rsidRDefault="00A76A66" w:rsidP="00C83B0B">
            <w:pPr>
              <w:rPr>
                <w:b/>
                <w:color w:val="FFFFFF" w:themeColor="background1"/>
                <w:lang w:val="en-GB"/>
              </w:rPr>
            </w:pPr>
          </w:p>
        </w:tc>
        <w:tc>
          <w:tcPr>
            <w:tcW w:w="7371" w:type="dxa"/>
            <w:vMerge/>
          </w:tcPr>
          <w:p w14:paraId="43794AAC" w14:textId="77777777" w:rsidR="00A76A66" w:rsidRPr="00513B24" w:rsidRDefault="00A76A66" w:rsidP="00C83B0B">
            <w:pPr>
              <w:jc w:val="both"/>
              <w:rPr>
                <w:color w:val="0033CC"/>
                <w:lang w:val="en-GB"/>
              </w:rPr>
            </w:pPr>
          </w:p>
        </w:tc>
      </w:tr>
      <w:tr w:rsidR="00A76A66" w:rsidRPr="00FE6890" w14:paraId="19EB412E" w14:textId="77777777" w:rsidTr="007043FA">
        <w:trPr>
          <w:trHeight w:val="269"/>
          <w:jc w:val="center"/>
        </w:trPr>
        <w:tc>
          <w:tcPr>
            <w:tcW w:w="2263" w:type="dxa"/>
            <w:vMerge w:val="restart"/>
            <w:shd w:val="clear" w:color="auto" w:fill="006666"/>
          </w:tcPr>
          <w:p w14:paraId="6CE73C8B" w14:textId="77777777" w:rsidR="00A76A66" w:rsidRPr="006341B3" w:rsidRDefault="00475CDD" w:rsidP="00C83B0B">
            <w:pPr>
              <w:rPr>
                <w:b/>
                <w:color w:val="FFFFFF" w:themeColor="background1"/>
              </w:rPr>
            </w:pPr>
            <w:r>
              <w:rPr>
                <w:b/>
                <w:color w:val="FFFFFF" w:themeColor="background1"/>
              </w:rPr>
              <w:t>LEGAL BASIS</w:t>
            </w:r>
          </w:p>
        </w:tc>
        <w:tc>
          <w:tcPr>
            <w:tcW w:w="7371" w:type="dxa"/>
            <w:vMerge w:val="restart"/>
          </w:tcPr>
          <w:p w14:paraId="7E0A80B3" w14:textId="77777777" w:rsidR="00475CDD" w:rsidRPr="00513B24" w:rsidRDefault="00475CDD" w:rsidP="00475CDD">
            <w:pPr>
              <w:jc w:val="both"/>
              <w:rPr>
                <w:rFonts w:cstheme="minorHAnsi"/>
                <w:lang w:val="en-GB"/>
              </w:rPr>
            </w:pPr>
            <w:proofErr w:type="gramStart"/>
            <w:r w:rsidRPr="00513B24">
              <w:rPr>
                <w:rFonts w:cstheme="minorHAnsi"/>
                <w:lang w:val="en-GB"/>
              </w:rPr>
              <w:t>GDPR  Art.</w:t>
            </w:r>
            <w:proofErr w:type="gramEnd"/>
            <w:r w:rsidRPr="00513B24">
              <w:rPr>
                <w:rFonts w:cstheme="minorHAnsi"/>
                <w:lang w:val="en-GB"/>
              </w:rPr>
              <w:t xml:space="preserve"> 6.1 e): Processing necessary for the performance of a task carried out in the public interest or in the exercise of public powers conferred on the data controller in accordance with Organic Law 6/2001 on Universities and implementing provisions.</w:t>
            </w:r>
          </w:p>
          <w:p w14:paraId="73F85BEB" w14:textId="77777777" w:rsidR="00A76A66" w:rsidRPr="00513B24" w:rsidRDefault="00475CDD" w:rsidP="00475CDD">
            <w:pPr>
              <w:jc w:val="both"/>
              <w:rPr>
                <w:rFonts w:cstheme="minorHAnsi"/>
                <w:lang w:val="en-GB"/>
              </w:rPr>
            </w:pPr>
            <w:r w:rsidRPr="00513B24">
              <w:rPr>
                <w:rFonts w:cstheme="minorHAnsi"/>
                <w:lang w:val="en-GB"/>
              </w:rPr>
              <w:t>GDPR Art.6.</w:t>
            </w:r>
            <w:proofErr w:type="gramStart"/>
            <w:r w:rsidRPr="00513B24">
              <w:rPr>
                <w:rFonts w:cstheme="minorHAnsi"/>
                <w:lang w:val="en-GB"/>
              </w:rPr>
              <w:t>1.a</w:t>
            </w:r>
            <w:proofErr w:type="gramEnd"/>
            <w:r w:rsidRPr="00513B24">
              <w:rPr>
                <w:rFonts w:cstheme="minorHAnsi"/>
                <w:lang w:val="en-GB"/>
              </w:rPr>
              <w:t>). Express consent for other purposes.</w:t>
            </w:r>
          </w:p>
        </w:tc>
      </w:tr>
      <w:tr w:rsidR="00A76A66" w:rsidRPr="00FE6890" w14:paraId="36E14FEA" w14:textId="77777777" w:rsidTr="007043FA">
        <w:trPr>
          <w:trHeight w:val="269"/>
          <w:jc w:val="center"/>
        </w:trPr>
        <w:tc>
          <w:tcPr>
            <w:tcW w:w="2263" w:type="dxa"/>
            <w:vMerge/>
            <w:shd w:val="clear" w:color="auto" w:fill="006666"/>
          </w:tcPr>
          <w:p w14:paraId="71305075" w14:textId="77777777" w:rsidR="00A76A66" w:rsidRPr="00513B24" w:rsidRDefault="00A76A66" w:rsidP="00C83B0B">
            <w:pPr>
              <w:rPr>
                <w:b/>
                <w:color w:val="FFFFFF" w:themeColor="background1"/>
                <w:lang w:val="en-GB"/>
              </w:rPr>
            </w:pPr>
          </w:p>
        </w:tc>
        <w:tc>
          <w:tcPr>
            <w:tcW w:w="7371" w:type="dxa"/>
            <w:vMerge/>
          </w:tcPr>
          <w:p w14:paraId="658B9508" w14:textId="77777777" w:rsidR="00A76A66" w:rsidRPr="00513B24" w:rsidRDefault="00A76A66" w:rsidP="00C83B0B">
            <w:pPr>
              <w:jc w:val="both"/>
              <w:rPr>
                <w:lang w:val="en-GB"/>
              </w:rPr>
            </w:pPr>
          </w:p>
        </w:tc>
      </w:tr>
      <w:tr w:rsidR="007043FA" w:rsidRPr="00FE6890" w14:paraId="04AE09EE" w14:textId="77777777" w:rsidTr="007043FA">
        <w:trPr>
          <w:trHeight w:val="465"/>
          <w:jc w:val="center"/>
        </w:trPr>
        <w:tc>
          <w:tcPr>
            <w:tcW w:w="2263" w:type="dxa"/>
            <w:vMerge w:val="restart"/>
            <w:shd w:val="clear" w:color="auto" w:fill="006666"/>
          </w:tcPr>
          <w:p w14:paraId="7CC38F15" w14:textId="77777777" w:rsidR="007043FA" w:rsidRPr="00513B24" w:rsidRDefault="007043FA" w:rsidP="00C83B0B">
            <w:pPr>
              <w:rPr>
                <w:b/>
                <w:color w:val="FFFFFF" w:themeColor="background1"/>
                <w:lang w:val="en-GB"/>
              </w:rPr>
            </w:pPr>
            <w:r w:rsidRPr="00513B24">
              <w:rPr>
                <w:b/>
                <w:color w:val="FFFFFF" w:themeColor="background1"/>
                <w:lang w:val="en-GB"/>
              </w:rPr>
              <w:t>RECIPIENTS OF DATA ASSIGNMENTS AND TRANSFERS</w:t>
            </w:r>
          </w:p>
        </w:tc>
        <w:tc>
          <w:tcPr>
            <w:tcW w:w="7371" w:type="dxa"/>
          </w:tcPr>
          <w:p w14:paraId="755518FA" w14:textId="77777777" w:rsidR="007043FA" w:rsidRPr="00513B24" w:rsidRDefault="007043FA" w:rsidP="00475CDD">
            <w:pPr>
              <w:jc w:val="both"/>
              <w:rPr>
                <w:lang w:val="en-GB"/>
              </w:rPr>
            </w:pPr>
            <w:r w:rsidRPr="00513B24">
              <w:rPr>
                <w:lang w:val="en-GB"/>
              </w:rPr>
              <w:t>Other administrations and public bodies related to the functions of the University of Cantabria, judicial bodies, organisations, institutions and companies.</w:t>
            </w:r>
          </w:p>
          <w:p w14:paraId="5CAC34DE" w14:textId="77777777" w:rsidR="007043FA" w:rsidRPr="00513B24" w:rsidRDefault="007043FA" w:rsidP="00475CDD">
            <w:pPr>
              <w:jc w:val="both"/>
              <w:rPr>
                <w:lang w:val="en-GB"/>
              </w:rPr>
            </w:pPr>
            <w:r w:rsidRPr="00513B24">
              <w:rPr>
                <w:lang w:val="en-GB"/>
              </w:rPr>
              <w:t>Collaborating banking entities.</w:t>
            </w:r>
          </w:p>
          <w:p w14:paraId="557500D7" w14:textId="77777777" w:rsidR="007043FA" w:rsidRPr="00513B24" w:rsidRDefault="007043FA" w:rsidP="00475CDD">
            <w:pPr>
              <w:jc w:val="both"/>
              <w:rPr>
                <w:lang w:val="en-GB"/>
              </w:rPr>
            </w:pPr>
            <w:r w:rsidRPr="00513B24">
              <w:rPr>
                <w:lang w:val="en-GB"/>
              </w:rPr>
              <w:t>Insurance companies (collective accident insurance).</w:t>
            </w:r>
          </w:p>
        </w:tc>
      </w:tr>
      <w:tr w:rsidR="007043FA" w:rsidRPr="00FE6890" w14:paraId="2D291FA2" w14:textId="77777777" w:rsidTr="007043FA">
        <w:trPr>
          <w:trHeight w:val="20"/>
          <w:jc w:val="center"/>
        </w:trPr>
        <w:tc>
          <w:tcPr>
            <w:tcW w:w="2263" w:type="dxa"/>
            <w:vMerge/>
            <w:shd w:val="clear" w:color="auto" w:fill="006666"/>
          </w:tcPr>
          <w:p w14:paraId="23BFB06D" w14:textId="77777777" w:rsidR="007043FA" w:rsidRPr="00513B24" w:rsidRDefault="007043FA" w:rsidP="00C83B0B">
            <w:pPr>
              <w:rPr>
                <w:b/>
                <w:color w:val="FFFFFF" w:themeColor="background1"/>
                <w:lang w:val="en-GB"/>
              </w:rPr>
            </w:pPr>
          </w:p>
        </w:tc>
        <w:tc>
          <w:tcPr>
            <w:tcW w:w="7371" w:type="dxa"/>
          </w:tcPr>
          <w:p w14:paraId="0BE00B96" w14:textId="77777777" w:rsidR="007043FA" w:rsidRPr="00513B24" w:rsidRDefault="007043FA" w:rsidP="00C83B0B">
            <w:pPr>
              <w:jc w:val="both"/>
              <w:rPr>
                <w:lang w:val="en-GB"/>
              </w:rPr>
            </w:pPr>
            <w:r w:rsidRPr="00513B24">
              <w:rPr>
                <w:lang w:val="en-GB"/>
              </w:rPr>
              <w:t>International data transfers with the students´ sending universities</w:t>
            </w:r>
          </w:p>
        </w:tc>
      </w:tr>
      <w:tr w:rsidR="007043FA" w:rsidRPr="00FE6890" w14:paraId="39379154" w14:textId="77777777" w:rsidTr="007043FA">
        <w:trPr>
          <w:trHeight w:val="308"/>
          <w:jc w:val="center"/>
        </w:trPr>
        <w:tc>
          <w:tcPr>
            <w:tcW w:w="2263" w:type="dxa"/>
            <w:shd w:val="clear" w:color="auto" w:fill="006666"/>
          </w:tcPr>
          <w:p w14:paraId="7BBEE398" w14:textId="44EB4CB1" w:rsidR="007043FA" w:rsidRPr="007043FA" w:rsidRDefault="007043FA" w:rsidP="007043FA">
            <w:pPr>
              <w:rPr>
                <w:b/>
                <w:color w:val="FFFFFF" w:themeColor="background1"/>
                <w:lang w:val="en-GB"/>
              </w:rPr>
            </w:pPr>
            <w:r w:rsidRPr="00513B24">
              <w:rPr>
                <w:b/>
                <w:color w:val="FFFFFF" w:themeColor="background1"/>
                <w:lang w:val="en-GB"/>
              </w:rPr>
              <w:t>RIGHTS OF THE PERSONS CONCERNED</w:t>
            </w:r>
          </w:p>
        </w:tc>
        <w:tc>
          <w:tcPr>
            <w:tcW w:w="7371" w:type="dxa"/>
          </w:tcPr>
          <w:p w14:paraId="652E386D" w14:textId="11E9EB6F" w:rsidR="007043FA" w:rsidRPr="00513B24" w:rsidRDefault="007043FA" w:rsidP="007043FA">
            <w:pPr>
              <w:jc w:val="both"/>
              <w:rPr>
                <w:lang w:val="en-GB"/>
              </w:rPr>
            </w:pPr>
            <w:r w:rsidRPr="00513B24">
              <w:rPr>
                <w:lang w:val="en-GB"/>
              </w:rPr>
              <w:t>All students have the right of access, rectification and erasure, as explained in the additional information.</w:t>
            </w:r>
          </w:p>
        </w:tc>
      </w:tr>
      <w:tr w:rsidR="00A76A66" w:rsidRPr="00FE6890" w14:paraId="65951CBA" w14:textId="77777777" w:rsidTr="007043FA">
        <w:trPr>
          <w:trHeight w:val="308"/>
          <w:jc w:val="center"/>
        </w:trPr>
        <w:tc>
          <w:tcPr>
            <w:tcW w:w="2263" w:type="dxa"/>
            <w:vMerge w:val="restart"/>
            <w:shd w:val="clear" w:color="auto" w:fill="006666"/>
          </w:tcPr>
          <w:p w14:paraId="0E4F153F" w14:textId="77777777" w:rsidR="00A76A66" w:rsidRPr="006341B3" w:rsidRDefault="00663590" w:rsidP="00C83B0B">
            <w:pPr>
              <w:rPr>
                <w:b/>
                <w:color w:val="FFFFFF" w:themeColor="background1"/>
              </w:rPr>
            </w:pPr>
            <w:r>
              <w:rPr>
                <w:b/>
                <w:color w:val="FFFFFF" w:themeColor="background1"/>
              </w:rPr>
              <w:t>DATA ORIGIN</w:t>
            </w:r>
          </w:p>
        </w:tc>
        <w:tc>
          <w:tcPr>
            <w:tcW w:w="7371" w:type="dxa"/>
            <w:vMerge w:val="restart"/>
          </w:tcPr>
          <w:p w14:paraId="0AEED121" w14:textId="77777777" w:rsidR="00663590" w:rsidRPr="00513B24" w:rsidRDefault="00663590" w:rsidP="00663590">
            <w:pPr>
              <w:jc w:val="both"/>
              <w:rPr>
                <w:lang w:val="en-GB"/>
              </w:rPr>
            </w:pPr>
            <w:r w:rsidRPr="00513B24">
              <w:rPr>
                <w:lang w:val="en-GB"/>
              </w:rPr>
              <w:t xml:space="preserve">Self-initiated. </w:t>
            </w:r>
          </w:p>
          <w:p w14:paraId="06D99E28" w14:textId="77777777" w:rsidR="00A76A66" w:rsidRPr="00513B24" w:rsidRDefault="00663590" w:rsidP="00663590">
            <w:pPr>
              <w:jc w:val="both"/>
              <w:rPr>
                <w:lang w:val="en-GB"/>
              </w:rPr>
            </w:pPr>
            <w:r w:rsidRPr="00513B24">
              <w:rPr>
                <w:lang w:val="en-GB"/>
              </w:rPr>
              <w:t>In some cases, they may come from the educational centres where the students have taken pre-university studies.</w:t>
            </w:r>
          </w:p>
        </w:tc>
      </w:tr>
      <w:tr w:rsidR="00A76A66" w:rsidRPr="00FE6890" w14:paraId="7E460069" w14:textId="77777777" w:rsidTr="007043FA">
        <w:trPr>
          <w:trHeight w:val="307"/>
          <w:jc w:val="center"/>
        </w:trPr>
        <w:tc>
          <w:tcPr>
            <w:tcW w:w="2263" w:type="dxa"/>
            <w:vMerge/>
            <w:shd w:val="clear" w:color="auto" w:fill="006666"/>
          </w:tcPr>
          <w:p w14:paraId="247BEE41" w14:textId="77777777" w:rsidR="00A76A66" w:rsidRPr="00513B24" w:rsidRDefault="00A76A66" w:rsidP="00C83B0B">
            <w:pPr>
              <w:rPr>
                <w:b/>
                <w:color w:val="FFFFFF" w:themeColor="background1"/>
                <w:lang w:val="en-GB"/>
              </w:rPr>
            </w:pPr>
          </w:p>
        </w:tc>
        <w:tc>
          <w:tcPr>
            <w:tcW w:w="7371" w:type="dxa"/>
            <w:vMerge/>
          </w:tcPr>
          <w:p w14:paraId="416FEF8E" w14:textId="77777777" w:rsidR="00A76A66" w:rsidRPr="00513B24" w:rsidRDefault="00A76A66" w:rsidP="00C83B0B">
            <w:pPr>
              <w:rPr>
                <w:lang w:val="en-GB"/>
              </w:rPr>
            </w:pPr>
          </w:p>
        </w:tc>
      </w:tr>
    </w:tbl>
    <w:p w14:paraId="0A8B1E1E" w14:textId="36F93E78" w:rsidR="00A76A66" w:rsidRPr="00E26B0F" w:rsidRDefault="00663590" w:rsidP="007043FA">
      <w:pPr>
        <w:spacing w:before="80" w:after="0" w:line="240" w:lineRule="auto"/>
        <w:jc w:val="center"/>
        <w:rPr>
          <w:rFonts w:cstheme="minorHAnsi"/>
          <w:b/>
          <w:lang w:val="en-GB"/>
        </w:rPr>
      </w:pPr>
      <w:r w:rsidRPr="00E26B0F">
        <w:rPr>
          <w:b/>
          <w:lang w:val="en-GB"/>
        </w:rPr>
        <w:t>Further information about personal data treatment can be found on the</w:t>
      </w:r>
      <w:r w:rsidR="00E26B0F" w:rsidRPr="00E26B0F">
        <w:rPr>
          <w:b/>
          <w:lang w:val="en-GB"/>
        </w:rPr>
        <w:t xml:space="preserve"> following</w:t>
      </w:r>
      <w:r w:rsidRPr="00E26B0F">
        <w:rPr>
          <w:b/>
          <w:lang w:val="en-GB"/>
        </w:rPr>
        <w:t xml:space="preserve"> web site:</w:t>
      </w:r>
      <w:r w:rsidR="00A76A66" w:rsidRPr="00E26B0F">
        <w:rPr>
          <w:b/>
          <w:lang w:val="en-GB"/>
        </w:rPr>
        <w:t xml:space="preserve"> </w:t>
      </w:r>
      <w:hyperlink r:id="rId7" w:history="1">
        <w:r w:rsidR="00A76A66" w:rsidRPr="00E26B0F">
          <w:rPr>
            <w:rStyle w:val="Hipervnculo"/>
            <w:rFonts w:cstheme="minorHAnsi"/>
            <w:b/>
            <w:lang w:val="en-GB"/>
          </w:rPr>
          <w:t>web.unican.es/RGPD/</w:t>
        </w:r>
        <w:proofErr w:type="spellStart"/>
        <w:r w:rsidR="00A76A66" w:rsidRPr="00E26B0F">
          <w:rPr>
            <w:rStyle w:val="Hipervnculo"/>
            <w:rFonts w:cstheme="minorHAnsi"/>
            <w:b/>
            <w:lang w:val="en-GB"/>
          </w:rPr>
          <w:t>estudiantes-titulos</w:t>
        </w:r>
        <w:proofErr w:type="spellEnd"/>
      </w:hyperlink>
    </w:p>
    <w:p w14:paraId="3937BB5A" w14:textId="77777777" w:rsidR="00A76A66" w:rsidRPr="00513B24" w:rsidRDefault="00663590" w:rsidP="007043FA">
      <w:pPr>
        <w:spacing w:before="80" w:after="0" w:line="240" w:lineRule="auto"/>
        <w:jc w:val="both"/>
        <w:rPr>
          <w:color w:val="000000" w:themeColor="text1"/>
          <w:lang w:val="en-GB"/>
        </w:rPr>
      </w:pPr>
      <w:r w:rsidRPr="00513B24">
        <w:rPr>
          <w:color w:val="000000" w:themeColor="text1"/>
          <w:lang w:val="en-GB"/>
        </w:rPr>
        <w:t xml:space="preserve">This application entails the treatment of the data provided and generated in your relationship with the Servicio de Gestión Académica (Academic Management Service) and the Office for International Relations and the different Faculties and Departments and in general with the University of Cantabria. It also entails the international assignments, transfers, and purposes that are included in the </w:t>
      </w:r>
      <w:r w:rsidRPr="00513B24">
        <w:rPr>
          <w:b/>
          <w:color w:val="000000" w:themeColor="text1"/>
          <w:lang w:val="en-GB"/>
        </w:rPr>
        <w:t>provided Information about Personal Data Protection</w:t>
      </w:r>
      <w:r w:rsidRPr="00513B24">
        <w:rPr>
          <w:color w:val="000000" w:themeColor="text1"/>
          <w:lang w:val="en-GB"/>
        </w:rPr>
        <w:t>.</w:t>
      </w:r>
    </w:p>
    <w:p w14:paraId="723376DB" w14:textId="77777777" w:rsidR="00A76A66" w:rsidRPr="00513B24" w:rsidRDefault="00663590" w:rsidP="007043FA">
      <w:pPr>
        <w:spacing w:before="80" w:after="0" w:line="240" w:lineRule="auto"/>
        <w:jc w:val="both"/>
        <w:rPr>
          <w:b/>
          <w:lang w:val="en-GB"/>
        </w:rPr>
      </w:pPr>
      <w:r w:rsidRPr="00513B24">
        <w:rPr>
          <w:lang w:val="en-GB"/>
        </w:rPr>
        <w:t xml:space="preserve">The submission of the application with your signature or online validation implies </w:t>
      </w:r>
      <w:r w:rsidRPr="00513B24">
        <w:rPr>
          <w:b/>
          <w:lang w:val="en-GB"/>
        </w:rPr>
        <w:t>that you have read and understood the information provided.</w:t>
      </w:r>
    </w:p>
    <w:p w14:paraId="76558BE2" w14:textId="77777777" w:rsidR="00A76A66" w:rsidRPr="00513B24" w:rsidRDefault="00663590" w:rsidP="007043FA">
      <w:pPr>
        <w:spacing w:before="80" w:after="0" w:line="240" w:lineRule="auto"/>
        <w:jc w:val="center"/>
        <w:rPr>
          <w:b/>
          <w:lang w:val="en-GB"/>
        </w:rPr>
      </w:pPr>
      <w:r w:rsidRPr="00513B24">
        <w:rPr>
          <w:b/>
          <w:lang w:val="en-GB"/>
        </w:rPr>
        <w:t>CONSENT FOR ANOTHER PURPOSE</w:t>
      </w:r>
    </w:p>
    <w:p w14:paraId="18AD6401" w14:textId="536A1B0C" w:rsidR="00663590" w:rsidRPr="007043FA" w:rsidRDefault="00663590" w:rsidP="007043FA">
      <w:pPr>
        <w:spacing w:after="0" w:line="240" w:lineRule="auto"/>
        <w:jc w:val="both"/>
        <w:rPr>
          <w:rFonts w:cstheme="minorHAnsi"/>
          <w:b/>
          <w:lang w:val="en-GB"/>
        </w:rPr>
      </w:pPr>
      <w:r w:rsidRPr="00513B24">
        <w:rPr>
          <w:rFonts w:cstheme="minorHAnsi"/>
          <w:lang w:val="en-GB"/>
        </w:rPr>
        <w:t xml:space="preserve">Your data may also be processed for the purposes set out below, which are also described in the </w:t>
      </w:r>
      <w:r w:rsidRPr="00513B24">
        <w:rPr>
          <w:rFonts w:cstheme="minorHAnsi"/>
          <w:b/>
          <w:lang w:val="en-GB"/>
        </w:rPr>
        <w:t>additional information.</w:t>
      </w:r>
    </w:p>
    <w:p w14:paraId="48B3FCC9" w14:textId="2E9E38DD" w:rsidR="00513B24" w:rsidRDefault="00513B24" w:rsidP="007043FA">
      <w:pPr>
        <w:tabs>
          <w:tab w:val="left" w:pos="567"/>
          <w:tab w:val="left" w:pos="1134"/>
        </w:tabs>
        <w:spacing w:after="0" w:line="240" w:lineRule="auto"/>
        <w:jc w:val="both"/>
        <w:rPr>
          <w:b/>
          <w:lang w:val="en-GB"/>
        </w:rPr>
      </w:pPr>
      <w:r>
        <w:rPr>
          <w:b/>
          <w:lang w:val="en-GB"/>
        </w:rPr>
        <w:object w:dxaOrig="225" w:dyaOrig="225" w14:anchorId="788CE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5.25pt;height:33pt" o:ole="">
            <v:imagedata r:id="rId8" o:title=""/>
          </v:shape>
          <w:control r:id="rId9" w:name="OptionButton1" w:shapeid="_x0000_i1029"/>
        </w:object>
      </w:r>
      <w:r>
        <w:rPr>
          <w:b/>
          <w:lang w:val="en-GB"/>
        </w:rPr>
        <w:object w:dxaOrig="225" w:dyaOrig="225" w14:anchorId="3BF57BF1">
          <v:shape id="_x0000_i1031" type="#_x0000_t75" style="width:487.5pt;height:31.5pt" o:ole="">
            <v:imagedata r:id="rId10" o:title=""/>
          </v:shape>
          <w:control r:id="rId11" w:name="OptionButton11" w:shapeid="_x0000_i1031"/>
        </w:object>
      </w:r>
    </w:p>
    <w:p w14:paraId="53E47815" w14:textId="77777777" w:rsidR="00FE6890" w:rsidRDefault="00FE6890" w:rsidP="00FE6890">
      <w:pPr>
        <w:spacing w:after="0" w:line="276" w:lineRule="auto"/>
        <w:ind w:left="2832" w:firstLine="708"/>
        <w:rPr>
          <w:i/>
          <w:color w:val="000000" w:themeColor="text1"/>
        </w:rPr>
      </w:pPr>
      <w:proofErr w:type="spellStart"/>
      <w:r>
        <w:rPr>
          <w:i/>
          <w:color w:val="000000" w:themeColor="text1"/>
        </w:rPr>
        <w:t>Sign</w:t>
      </w:r>
      <w:proofErr w:type="spellEnd"/>
      <w:r>
        <w:rPr>
          <w:i/>
          <w:color w:val="000000" w:themeColor="text1"/>
        </w:rPr>
        <w:t>:</w:t>
      </w:r>
    </w:p>
    <w:p w14:paraId="658008B5" w14:textId="77777777" w:rsidR="00FE6890" w:rsidRDefault="00FE6890" w:rsidP="007043FA">
      <w:pPr>
        <w:spacing w:after="0" w:line="276" w:lineRule="auto"/>
        <w:rPr>
          <w:i/>
          <w:color w:val="000000" w:themeColor="text1"/>
        </w:rPr>
      </w:pPr>
    </w:p>
    <w:p w14:paraId="4D275C7B" w14:textId="77777777" w:rsidR="00FE6890" w:rsidRDefault="00FE6890" w:rsidP="007043FA">
      <w:pPr>
        <w:spacing w:after="0" w:line="276" w:lineRule="auto"/>
        <w:rPr>
          <w:i/>
          <w:color w:val="000000" w:themeColor="text1"/>
        </w:rPr>
      </w:pPr>
      <w:r>
        <w:rPr>
          <w:i/>
          <w:color w:val="000000" w:themeColor="text1"/>
        </w:rPr>
        <w:t>Date:</w:t>
      </w:r>
    </w:p>
    <w:p w14:paraId="617FC4A9" w14:textId="77777777" w:rsidR="00FE6890" w:rsidRDefault="00FE6890" w:rsidP="007043FA">
      <w:pPr>
        <w:spacing w:after="0" w:line="276" w:lineRule="auto"/>
        <w:rPr>
          <w:i/>
          <w:color w:val="000000" w:themeColor="text1"/>
        </w:rPr>
      </w:pPr>
    </w:p>
    <w:p w14:paraId="2A83ADF9" w14:textId="7F410A6F" w:rsidR="0060349A" w:rsidRPr="00FE6890" w:rsidRDefault="00FE6890" w:rsidP="007043FA">
      <w:pPr>
        <w:spacing w:after="0" w:line="276" w:lineRule="auto"/>
        <w:rPr>
          <w:lang w:val="en-GB"/>
        </w:rPr>
      </w:pPr>
      <w:r w:rsidRPr="00FE6890">
        <w:rPr>
          <w:i/>
          <w:color w:val="000000" w:themeColor="text1"/>
          <w:lang w:val="en-GB"/>
        </w:rPr>
        <w:t>Name and surname:</w:t>
      </w:r>
    </w:p>
    <w:sectPr w:rsidR="0060349A" w:rsidRPr="00FE6890" w:rsidSect="007043FA">
      <w:headerReference w:type="default" r:id="rId12"/>
      <w:footerReference w:type="default" r:id="rId13"/>
      <w:pgSz w:w="11906" w:h="16838"/>
      <w:pgMar w:top="1440"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7EE4" w14:textId="77777777" w:rsidR="00663590" w:rsidRDefault="00663590" w:rsidP="00663590">
      <w:pPr>
        <w:spacing w:after="0" w:line="240" w:lineRule="auto"/>
      </w:pPr>
      <w:r>
        <w:separator/>
      </w:r>
    </w:p>
  </w:endnote>
  <w:endnote w:type="continuationSeparator" w:id="0">
    <w:p w14:paraId="314FAC4F" w14:textId="77777777" w:rsidR="00663590" w:rsidRDefault="00663590" w:rsidP="0066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1E3D" w14:textId="0EF9FC16" w:rsidR="0063717D" w:rsidRPr="007043FA" w:rsidRDefault="00663590" w:rsidP="007043FA">
    <w:pPr>
      <w:pStyle w:val="Piedepgina"/>
      <w:jc w:val="right"/>
      <w:rPr>
        <w:color w:val="000000" w:themeColor="text1"/>
        <w:sz w:val="16"/>
        <w:szCs w:val="16"/>
      </w:rPr>
    </w:pPr>
    <w:r w:rsidRPr="007043FA">
      <w:rPr>
        <w:color w:val="000000" w:themeColor="text1"/>
        <w:sz w:val="16"/>
        <w:szCs w:val="16"/>
      </w:rPr>
      <w:t xml:space="preserve">Página </w:t>
    </w:r>
    <w:r w:rsidRPr="007043FA">
      <w:rPr>
        <w:color w:val="000000" w:themeColor="text1"/>
        <w:sz w:val="16"/>
        <w:szCs w:val="16"/>
      </w:rPr>
      <w:fldChar w:fldCharType="begin"/>
    </w:r>
    <w:r w:rsidRPr="007043FA">
      <w:rPr>
        <w:color w:val="000000" w:themeColor="text1"/>
        <w:sz w:val="16"/>
        <w:szCs w:val="16"/>
      </w:rPr>
      <w:instrText>PAGE  \* Arabic  \* MERGEFORMAT</w:instrText>
    </w:r>
    <w:r w:rsidRPr="007043FA">
      <w:rPr>
        <w:color w:val="000000" w:themeColor="text1"/>
        <w:sz w:val="16"/>
        <w:szCs w:val="16"/>
      </w:rPr>
      <w:fldChar w:fldCharType="separate"/>
    </w:r>
    <w:r w:rsidRPr="007043FA">
      <w:rPr>
        <w:noProof/>
        <w:color w:val="000000" w:themeColor="text1"/>
        <w:sz w:val="16"/>
        <w:szCs w:val="16"/>
      </w:rPr>
      <w:t>2</w:t>
    </w:r>
    <w:r w:rsidRPr="007043FA">
      <w:rPr>
        <w:color w:val="000000" w:themeColor="text1"/>
        <w:sz w:val="16"/>
        <w:szCs w:val="16"/>
      </w:rPr>
      <w:fldChar w:fldCharType="end"/>
    </w:r>
    <w:r w:rsidRPr="007043FA">
      <w:rPr>
        <w:color w:val="000000" w:themeColor="text1"/>
        <w:sz w:val="16"/>
        <w:szCs w:val="16"/>
      </w:rPr>
      <w:t xml:space="preserve"> de </w:t>
    </w:r>
    <w:r w:rsidRPr="007043FA">
      <w:rPr>
        <w:color w:val="000000" w:themeColor="text1"/>
        <w:sz w:val="16"/>
        <w:szCs w:val="16"/>
      </w:rPr>
      <w:fldChar w:fldCharType="begin"/>
    </w:r>
    <w:r w:rsidRPr="007043FA">
      <w:rPr>
        <w:color w:val="000000" w:themeColor="text1"/>
        <w:sz w:val="16"/>
        <w:szCs w:val="16"/>
      </w:rPr>
      <w:instrText>NUMPAGES  \* Arabic  \* MERGEFORMAT</w:instrText>
    </w:r>
    <w:r w:rsidRPr="007043FA">
      <w:rPr>
        <w:color w:val="000000" w:themeColor="text1"/>
        <w:sz w:val="16"/>
        <w:szCs w:val="16"/>
      </w:rPr>
      <w:fldChar w:fldCharType="separate"/>
    </w:r>
    <w:r w:rsidRPr="007043FA">
      <w:rPr>
        <w:noProof/>
        <w:color w:val="000000" w:themeColor="text1"/>
        <w:sz w:val="16"/>
        <w:szCs w:val="16"/>
      </w:rPr>
      <w:t>2</w:t>
    </w:r>
    <w:r w:rsidRPr="007043FA">
      <w:rPr>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F789" w14:textId="77777777" w:rsidR="00663590" w:rsidRDefault="00663590" w:rsidP="00663590">
      <w:pPr>
        <w:spacing w:after="0" w:line="240" w:lineRule="auto"/>
      </w:pPr>
      <w:r>
        <w:separator/>
      </w:r>
    </w:p>
  </w:footnote>
  <w:footnote w:type="continuationSeparator" w:id="0">
    <w:p w14:paraId="6DB14EB6" w14:textId="77777777" w:rsidR="00663590" w:rsidRDefault="00663590" w:rsidP="0066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142" w:type="dxa"/>
      <w:tblLook w:val="01E0" w:firstRow="1" w:lastRow="1" w:firstColumn="1" w:lastColumn="1" w:noHBand="0" w:noVBand="0"/>
    </w:tblPr>
    <w:tblGrid>
      <w:gridCol w:w="1176"/>
      <w:gridCol w:w="8633"/>
    </w:tblGrid>
    <w:tr w:rsidR="00E26B0F" w14:paraId="64C39C76" w14:textId="77777777" w:rsidTr="00E26B0F">
      <w:trPr>
        <w:trHeight w:val="417"/>
      </w:trPr>
      <w:tc>
        <w:tcPr>
          <w:tcW w:w="1176" w:type="dxa"/>
          <w:vMerge w:val="restart"/>
        </w:tcPr>
        <w:p w14:paraId="7E22F358" w14:textId="19598F95" w:rsidR="00E26B0F" w:rsidRDefault="00E26B0F" w:rsidP="00E274C6">
          <w:pPr>
            <w:pStyle w:val="Encabezado"/>
          </w:pPr>
          <w:r>
            <w:rPr>
              <w:noProof/>
            </w:rPr>
            <w:drawing>
              <wp:inline distT="0" distB="0" distL="0" distR="0" wp14:anchorId="1BE613DC" wp14:editId="7E79BC22">
                <wp:extent cx="609600" cy="609600"/>
                <wp:effectExtent l="0" t="0" r="0" b="0"/>
                <wp:docPr id="11" name="Grá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áfico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09600" cy="609600"/>
                        </a:xfrm>
                        <a:prstGeom prst="rect">
                          <a:avLst/>
                        </a:prstGeom>
                      </pic:spPr>
                    </pic:pic>
                  </a:graphicData>
                </a:graphic>
              </wp:inline>
            </w:drawing>
          </w:r>
        </w:p>
      </w:tc>
      <w:tc>
        <w:tcPr>
          <w:tcW w:w="8633" w:type="dxa"/>
          <w:tcBorders>
            <w:bottom w:val="single" w:sz="4" w:space="0" w:color="008080"/>
          </w:tcBorders>
          <w:vAlign w:val="center"/>
        </w:tcPr>
        <w:p w14:paraId="7BC236F7" w14:textId="77777777" w:rsidR="00E26B0F" w:rsidRPr="002C4B38" w:rsidRDefault="00E26B0F" w:rsidP="007043FA">
          <w:pPr>
            <w:pStyle w:val="Encabezado"/>
            <w:jc w:val="right"/>
            <w:rPr>
              <w:rFonts w:ascii="Verdana" w:hAnsi="Verdana"/>
              <w:color w:val="008080"/>
              <w:sz w:val="16"/>
              <w:szCs w:val="16"/>
            </w:rPr>
          </w:pPr>
          <w:r w:rsidRPr="007043FA">
            <w:rPr>
              <w:rFonts w:ascii="Verdana" w:hAnsi="Verdana"/>
              <w:sz w:val="16"/>
              <w:szCs w:val="16"/>
            </w:rPr>
            <w:t xml:space="preserve">Personal Data </w:t>
          </w:r>
          <w:proofErr w:type="spellStart"/>
          <w:r w:rsidRPr="007043FA">
            <w:rPr>
              <w:rFonts w:ascii="Verdana" w:hAnsi="Verdana"/>
              <w:sz w:val="16"/>
              <w:szCs w:val="16"/>
            </w:rPr>
            <w:t>Protection</w:t>
          </w:r>
          <w:proofErr w:type="spellEnd"/>
          <w:r w:rsidRPr="007043FA">
            <w:rPr>
              <w:rFonts w:ascii="Verdana" w:hAnsi="Verdana"/>
              <w:sz w:val="16"/>
              <w:szCs w:val="16"/>
            </w:rPr>
            <w:t xml:space="preserve"> </w:t>
          </w:r>
          <w:proofErr w:type="spellStart"/>
          <w:r w:rsidRPr="007043FA">
            <w:rPr>
              <w:rFonts w:ascii="Verdana" w:hAnsi="Verdana"/>
              <w:sz w:val="16"/>
              <w:szCs w:val="16"/>
            </w:rPr>
            <w:t>Policy</w:t>
          </w:r>
          <w:proofErr w:type="spellEnd"/>
        </w:p>
      </w:tc>
    </w:tr>
    <w:tr w:rsidR="00E26B0F" w:rsidRPr="00FE6890" w14:paraId="5A4DE25D" w14:textId="77777777" w:rsidTr="00E26B0F">
      <w:trPr>
        <w:trHeight w:val="421"/>
      </w:trPr>
      <w:tc>
        <w:tcPr>
          <w:tcW w:w="1176" w:type="dxa"/>
          <w:vMerge/>
        </w:tcPr>
        <w:p w14:paraId="3F564916" w14:textId="77777777" w:rsidR="00E26B0F" w:rsidRDefault="00E26B0F" w:rsidP="00E274C6">
          <w:pPr>
            <w:pStyle w:val="Encabezado"/>
          </w:pPr>
        </w:p>
      </w:tc>
      <w:tc>
        <w:tcPr>
          <w:tcW w:w="8633" w:type="dxa"/>
          <w:tcBorders>
            <w:top w:val="single" w:sz="4" w:space="0" w:color="008080"/>
          </w:tcBorders>
          <w:vAlign w:val="center"/>
        </w:tcPr>
        <w:p w14:paraId="3830B105" w14:textId="77777777" w:rsidR="00E26B0F" w:rsidRPr="00513B24" w:rsidRDefault="00E26B0F" w:rsidP="00E26B0F">
          <w:pPr>
            <w:spacing w:before="80" w:after="0" w:line="240" w:lineRule="auto"/>
            <w:ind w:left="-6"/>
            <w:jc w:val="center"/>
            <w:rPr>
              <w:b/>
              <w:color w:val="006666"/>
              <w:sz w:val="24"/>
              <w:szCs w:val="24"/>
              <w:lang w:val="en-GB"/>
            </w:rPr>
          </w:pPr>
          <w:r w:rsidRPr="00513B24">
            <w:rPr>
              <w:b/>
              <w:color w:val="006666"/>
              <w:sz w:val="24"/>
              <w:szCs w:val="24"/>
              <w:lang w:val="en-GB"/>
            </w:rPr>
            <w:t>INFORMATION ON THE PROTECTION OF PERSONAL DATA (GDPR ARTS. 13 AND 14)</w:t>
          </w:r>
        </w:p>
        <w:p w14:paraId="3F03DC2A" w14:textId="77777777" w:rsidR="00E26B0F" w:rsidRPr="00513B24" w:rsidRDefault="00E26B0F" w:rsidP="00E26B0F">
          <w:pPr>
            <w:spacing w:after="0"/>
            <w:ind w:left="-6"/>
            <w:jc w:val="center"/>
            <w:rPr>
              <w:b/>
              <w:color w:val="006666"/>
              <w:sz w:val="24"/>
              <w:szCs w:val="24"/>
              <w:lang w:val="en-GB"/>
            </w:rPr>
          </w:pPr>
          <w:r w:rsidRPr="00513B24">
            <w:rPr>
              <w:b/>
              <w:color w:val="006666"/>
              <w:sz w:val="24"/>
              <w:szCs w:val="24"/>
              <w:lang w:val="en-GB"/>
            </w:rPr>
            <w:t>TREATMENT ACTIVITY: "STUDENTS AND DEGREES”</w:t>
          </w:r>
        </w:p>
        <w:p w14:paraId="3C49123F" w14:textId="58A8CF3E" w:rsidR="00E26B0F" w:rsidRPr="00E26B0F" w:rsidRDefault="00E26B0F" w:rsidP="00E26B0F">
          <w:pPr>
            <w:spacing w:after="0"/>
            <w:ind w:left="-6"/>
            <w:jc w:val="center"/>
            <w:rPr>
              <w:b/>
              <w:color w:val="006666"/>
              <w:sz w:val="24"/>
              <w:szCs w:val="24"/>
              <w:lang w:val="en-GB"/>
            </w:rPr>
          </w:pPr>
          <w:r w:rsidRPr="007043FA">
            <w:rPr>
              <w:b/>
              <w:color w:val="006666"/>
              <w:sz w:val="24"/>
              <w:szCs w:val="24"/>
              <w:lang w:val="en-GB"/>
            </w:rPr>
            <w:t>BASIC INFORMATION ON DATA PROTECTION</w:t>
          </w:r>
        </w:p>
      </w:tc>
    </w:tr>
  </w:tbl>
  <w:p w14:paraId="78F1DDB4" w14:textId="77777777" w:rsidR="00E274C6" w:rsidRPr="00A51B14" w:rsidRDefault="00FE6890" w:rsidP="007043FA">
    <w:pPr>
      <w:pStyle w:val="Encabezado"/>
      <w:rPr>
        <w:sz w:val="2"/>
        <w:szCs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952"/>
    <w:multiLevelType w:val="hybridMultilevel"/>
    <w:tmpl w:val="A9827B62"/>
    <w:lvl w:ilvl="0" w:tplc="0C0A0017">
      <w:start w:val="1"/>
      <w:numFmt w:val="lowerLetter"/>
      <w:lvlText w:val="%1)"/>
      <w:lvlJc w:val="left"/>
      <w:pPr>
        <w:ind w:left="720" w:hanging="360"/>
      </w:pPr>
      <w:rPr>
        <w:rFonts w:hint="default"/>
      </w:rPr>
    </w:lvl>
    <w:lvl w:ilvl="1" w:tplc="072691E0">
      <w:start w:val="1"/>
      <w:numFmt w:val="bullet"/>
      <w:lvlText w:val="˗"/>
      <w:lvlJc w:val="left"/>
      <w:pPr>
        <w:ind w:left="1440" w:hanging="360"/>
      </w:pPr>
      <w:rPr>
        <w:rFonts w:ascii="Arial" w:hAnsi="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66"/>
    <w:rsid w:val="003504F7"/>
    <w:rsid w:val="00475CDD"/>
    <w:rsid w:val="00513B24"/>
    <w:rsid w:val="00663590"/>
    <w:rsid w:val="007043FA"/>
    <w:rsid w:val="008652EC"/>
    <w:rsid w:val="00A51B14"/>
    <w:rsid w:val="00A76A66"/>
    <w:rsid w:val="00E26B0F"/>
    <w:rsid w:val="00E761F9"/>
    <w:rsid w:val="00FE6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1AE8A"/>
  <w15:chartTrackingRefBased/>
  <w15:docId w15:val="{7AE22871-C9F7-433A-B1E7-4119CB1D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A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6A66"/>
    <w:rPr>
      <w:color w:val="0563C1" w:themeColor="hyperlink"/>
      <w:u w:val="single"/>
    </w:rPr>
  </w:style>
  <w:style w:type="paragraph" w:styleId="Prrafodelista">
    <w:name w:val="List Paragraph"/>
    <w:basedOn w:val="Normal"/>
    <w:uiPriority w:val="34"/>
    <w:qFormat/>
    <w:rsid w:val="00A76A66"/>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A76A66"/>
    <w:pPr>
      <w:tabs>
        <w:tab w:val="center" w:pos="4252"/>
        <w:tab w:val="right" w:pos="8504"/>
      </w:tabs>
      <w:spacing w:after="0" w:line="240" w:lineRule="auto"/>
    </w:pPr>
  </w:style>
  <w:style w:type="character" w:customStyle="1" w:styleId="EncabezadoCar">
    <w:name w:val="Encabezado Car"/>
    <w:basedOn w:val="Fuentedeprrafopredeter"/>
    <w:link w:val="Encabezado"/>
    <w:rsid w:val="00A76A66"/>
  </w:style>
  <w:style w:type="paragraph" w:styleId="Piedepgina">
    <w:name w:val="footer"/>
    <w:basedOn w:val="Normal"/>
    <w:link w:val="PiedepginaCar"/>
    <w:uiPriority w:val="99"/>
    <w:unhideWhenUsed/>
    <w:rsid w:val="00A76A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6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eb.unican.es/consejo-direccion/gerencia/RGDP/rgpd_info_estudiantes-titulos.pdf"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667104ad607555d87e4ba8772c49f87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235953-5AA0-449B-A361-43CC15884B0C}"/>
</file>

<file path=customXml/itemProps2.xml><?xml version="1.0" encoding="utf-8"?>
<ds:datastoreItem xmlns:ds="http://schemas.openxmlformats.org/officeDocument/2006/customXml" ds:itemID="{92CB8D3A-B4FA-40AF-87E9-FA06D0ED82CD}"/>
</file>

<file path=customXml/itemProps3.xml><?xml version="1.0" encoding="utf-8"?>
<ds:datastoreItem xmlns:ds="http://schemas.openxmlformats.org/officeDocument/2006/customXml" ds:itemID="{B5DB659F-1935-4D27-ABEA-1C64399F3300}"/>
</file>

<file path=docProps/app.xml><?xml version="1.0" encoding="utf-8"?>
<Properties xmlns="http://schemas.openxmlformats.org/officeDocument/2006/extended-properties" xmlns:vt="http://schemas.openxmlformats.org/officeDocument/2006/docPropsVTypes">
  <Template>Normal.dotm</Template>
  <TotalTime>10</TotalTime>
  <Pages>1</Pages>
  <Words>372</Words>
  <Characters>2049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Garcia, Agueda</dc:creator>
  <cp:keywords/>
  <dc:description/>
  <cp:lastModifiedBy>Ruiz Lopez, Julia</cp:lastModifiedBy>
  <cp:revision>5</cp:revision>
  <dcterms:created xsi:type="dcterms:W3CDTF">2023-05-02T07:59:00Z</dcterms:created>
  <dcterms:modified xsi:type="dcterms:W3CDTF">2023-05-02T11:55:00Z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ies>
</file>