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230E1E" w14:paraId="718DE03D" w14:textId="77777777" w:rsidTr="00301F3D">
        <w:tc>
          <w:tcPr>
            <w:tcW w:w="1951" w:type="dxa"/>
          </w:tcPr>
          <w:p w14:paraId="59C9BB9D" w14:textId="77777777" w:rsidR="007F56AD" w:rsidRPr="00230E1E" w:rsidRDefault="007F56AD" w:rsidP="0069514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E1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9619209" wp14:editId="4F2C0F8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2B2F5545" w14:textId="02BEF329" w:rsidR="002174B9" w:rsidRDefault="002174B9" w:rsidP="002174B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COMITÉ DE ÉTICA DE </w:t>
            </w:r>
            <w:r w:rsidR="00E37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PROYECTOS DE INVESTIGACION</w:t>
            </w: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:</w:t>
            </w:r>
          </w:p>
          <w:p w14:paraId="72831387" w14:textId="77777777" w:rsidR="003C2B4D" w:rsidRPr="0052550D" w:rsidRDefault="003C2B4D" w:rsidP="002174B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51E70CBC" w14:textId="0470F900" w:rsidR="00475406" w:rsidRDefault="00B9765C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85D7B79">
                <v:roundrect id="_x0000_s1026" style="position:absolute;left:0;text-align:left;margin-left:-.5pt;margin-top:1.65pt;width:15pt;height:11.25pt;z-index:251659264" arcsize="10923f"/>
              </w:pict>
            </w:r>
            <w:r w:rsidR="00475406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475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DE CIENCIAS </w:t>
            </w:r>
            <w:r w:rsidR="003C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EMPRESARIALES, ECONOMICAS, </w:t>
            </w:r>
            <w:r w:rsidR="00475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JURÍDICAS</w:t>
            </w:r>
          </w:p>
          <w:p w14:paraId="27E06BE1" w14:textId="77777777" w:rsidR="00475406" w:rsidRDefault="00B9765C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556B655">
                <v:roundrect id="_x0000_s1027" style="position:absolute;left:0;text-align:left;margin-left:35.65pt;margin-top:1.45pt;width:15pt;height:11.25pt;z-index:251660288" arcsize="10923f"/>
              </w:pict>
            </w:r>
            <w:r w:rsidR="00475406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475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DE LA SALUD</w:t>
            </w:r>
          </w:p>
          <w:p w14:paraId="67975992" w14:textId="77777777" w:rsidR="00475406" w:rsidRPr="003F1B53" w:rsidRDefault="00475406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(</w:t>
            </w:r>
            <w:r w:rsidRPr="005328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_tradnl" w:eastAsia="ca-ES"/>
              </w:rPr>
              <w:t>marcar según corresponda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)</w:t>
            </w:r>
          </w:p>
          <w:p w14:paraId="34543724" w14:textId="77777777" w:rsidR="002174B9" w:rsidRPr="0052550D" w:rsidRDefault="002174B9" w:rsidP="004754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1DD438A5" w14:textId="77777777" w:rsidR="007F56AD" w:rsidRPr="00230E1E" w:rsidRDefault="002174B9" w:rsidP="002174B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DECLARACIÓN DE RECONOCIMIENTO DE LAS IMPLICACIONES ÉTICAS QUE CONLLEVAN LOS TFG y TFM</w:t>
            </w:r>
          </w:p>
        </w:tc>
      </w:tr>
    </w:tbl>
    <w:p w14:paraId="6AE07D3E" w14:textId="77777777" w:rsidR="00292B80" w:rsidRPr="00230E1E" w:rsidRDefault="00292B80" w:rsidP="00277F4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1A1BE" w14:textId="77777777" w:rsidR="00A93959" w:rsidRDefault="00A93959" w:rsidP="0027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2816D75B" w14:textId="77777777" w:rsidR="0046566A" w:rsidRPr="0052550D" w:rsidRDefault="0046566A" w:rsidP="0027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A93959" w:rsidRPr="0052550D" w14:paraId="69FA4731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0F509607" w14:textId="1610DB30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apellidos  estudiante</w:t>
            </w:r>
          </w:p>
        </w:tc>
        <w:tc>
          <w:tcPr>
            <w:tcW w:w="6520" w:type="dxa"/>
            <w:vAlign w:val="center"/>
          </w:tcPr>
          <w:p w14:paraId="21984776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4CDCF446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418A0E06" w14:textId="6E149BFC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 estudiante</w:t>
            </w:r>
          </w:p>
        </w:tc>
        <w:tc>
          <w:tcPr>
            <w:tcW w:w="6520" w:type="dxa"/>
            <w:vAlign w:val="center"/>
          </w:tcPr>
          <w:p w14:paraId="6848D33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57C7EB20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5393F9D8" w14:textId="472DAF3B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apellidos  tutor/a</w:t>
            </w:r>
          </w:p>
        </w:tc>
        <w:tc>
          <w:tcPr>
            <w:tcW w:w="6520" w:type="dxa"/>
            <w:vAlign w:val="center"/>
          </w:tcPr>
          <w:p w14:paraId="6EE4BA31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34BE1C72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2B94183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6B72F8C2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53C06F3C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7C55FF87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38CE24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TFG</w:t>
            </w:r>
          </w:p>
          <w:p w14:paraId="4048E45D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TFM</w:t>
            </w:r>
          </w:p>
        </w:tc>
        <w:tc>
          <w:tcPr>
            <w:tcW w:w="6520" w:type="dxa"/>
            <w:vAlign w:val="center"/>
          </w:tcPr>
          <w:p w14:paraId="476DA0D9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2C418B31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08BA0B5F" w14:textId="77777777" w:rsidR="00A93959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Breve resumen del proyecto </w:t>
            </w:r>
          </w:p>
          <w:p w14:paraId="187838CD" w14:textId="5827C4E9" w:rsidR="003C2B4D" w:rsidRPr="0052550D" w:rsidRDefault="003C2B4D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727C871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1534873A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69859F1B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4635B383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41D7C4BA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1B347F5C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4806A43E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59" w:rsidRPr="0052550D" w14:paraId="18432EE0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0DA2E41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14:paraId="3D1636DA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A0D82" w14:textId="77777777" w:rsidR="00D936FD" w:rsidRDefault="00D936FD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3950EAA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186072D1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47217459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9794B8D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D545C87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86E8DFE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244A394B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4E84BAED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503F747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14324F30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914A998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8BB1F28" w14:textId="4C60F038" w:rsidR="009E0D79" w:rsidRPr="00B72AFF" w:rsidRDefault="009E0D79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El trabajo planteado 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</w:t>
      </w:r>
      <w:r w:rsidR="003C2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3C2B4D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3C2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1DA733CD" w14:textId="77777777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222EAF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F0604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o</w:t>
      </w:r>
      <w:r w:rsidR="00F26BBC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bservación o estudio de grupos humanos vivos mediante encuestas, entrevistas, convivencia, etc.   </w:t>
      </w:r>
    </w:p>
    <w:p w14:paraId="327AF306" w14:textId="77777777" w:rsidR="009E0D79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1F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F0604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recogida directa o indirecta de datos personales requiriéndose la obtención de un consentimiento para ello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2E4E1E8F" w14:textId="77777777" w:rsidR="009E0D79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presos u otras personas en custodia o bajo supervisión de cuidados en régimen de internamiento (reformatorios o similares)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05F7228E" w14:textId="7A22D23F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participación de adultos con </w:t>
      </w:r>
      <w:r w:rsidR="003C2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capacidad jurídica modificada.</w:t>
      </w:r>
    </w:p>
    <w:p w14:paraId="74F54373" w14:textId="77777777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menores de edad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2996E1" w14:textId="77777777" w:rsidR="00082FD7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otros grupos vulnerables como son los grupos en riesgo de exclusión social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568DF234" w14:textId="77777777" w:rsidR="00843DA0" w:rsidRPr="007F2BF9" w:rsidRDefault="00843DA0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realización de entrevistas o encuestas a las personas participantes y/o acceso a datos sensibles que requieran su autorización y no sean de acceso público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1E91A523" w14:textId="77777777" w:rsidR="009C2824" w:rsidRPr="00BD6D2B" w:rsidRDefault="005444E3" w:rsidP="00D24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082FD7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Nada de</w:t>
      </w:r>
      <w:r w:rsidR="00672B7B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lo anterior (especificar</w:t>
      </w:r>
      <w:r w:rsidR="00843DA0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)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</w:t>
      </w:r>
      <w:r w:rsidR="00BD6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</w:t>
      </w:r>
    </w:p>
    <w:p w14:paraId="5478F553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F68412D" w14:textId="05C5B4A0" w:rsidR="003A3B25" w:rsidRPr="00B72AFF" w:rsidRDefault="007E4796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 posibilidad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es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antedichas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</w:t>
      </w:r>
      <w:r w:rsidR="003C2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3C2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3C2B4D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3C2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1D9934E4" w14:textId="77777777" w:rsidR="00E7612F" w:rsidRPr="00E7612F" w:rsidRDefault="001B32D2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1873A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Recabar el consentimiento informado de </w:t>
      </w:r>
      <w:r w:rsidR="008E0A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relacionadas en el trabajo de investigación</w:t>
      </w:r>
      <w:r w:rsidR="00A87E2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(en el caso de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directores de excavación, conservadores y/o archivistas de museos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</w:t>
      </w:r>
      <w:r w:rsidR="00FA2E4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etc.</w:t>
      </w:r>
      <w:r w:rsidR="00A87E2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)</w:t>
      </w:r>
      <w:r w:rsidR="008E0A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Para lo cual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 estima oportuno la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 objeto </w:t>
      </w:r>
      <w:r w:rsidR="005B081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del estudio y los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acceso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y uso de los materiales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así como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método de estudio detallado que se aplicará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c) </w:t>
      </w:r>
      <w:r w:rsidR="00D67B6C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que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el uso que se dará a los resultados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será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exclusivamente académico y no comercial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D67B6C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d) </w:t>
      </w:r>
      <w:r w:rsidR="00F1391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qué tipo de participación tendrán en el estudio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B351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e) </w:t>
      </w:r>
      <w:r w:rsidR="0046527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si así lo desean, sobre los datos obtenidos y 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posteriores publicaciones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  <w:r w:rsidR="00653237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E7612F"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f) indicar su derecho a cancelar y a oponerse a los datos alcanzados.  </w:t>
      </w:r>
    </w:p>
    <w:p w14:paraId="198EC4A1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151A1800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251784BB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124BAD6A" w14:textId="77777777" w:rsidR="001B32D2" w:rsidRPr="00B72AF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datos. En particular, 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el Reglamento General de Protección de Datos (RGPD), 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que 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entró en vigor 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el 25 de mayo de 2018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supone la derogación de Ley Orgán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ica 15/1999, de 13 de diciembre 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referidos a la protección de las personas físicas en lo que respecta al tratamiento de datos personales; la Ley Orgánica 1/1996, de 15 de enero, de Protección Jurídica del Menor; y la Ley Orgánica 8/2015, de 22 de julio, de modificación del sistema de protección a la infancia y a la adolescencia.</w:t>
      </w:r>
    </w:p>
    <w:p w14:paraId="7C4866D0" w14:textId="77777777" w:rsidR="001B32D2" w:rsidRPr="00B72AFF" w:rsidRDefault="001B32D2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7C633F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conservación </w:t>
      </w:r>
      <w:r w:rsidR="001C5D8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y preservación de los bienes muebles e inmuebles objeto de estudio, proporcionando su conservación para futuros estudios</w:t>
      </w:r>
      <w:r w:rsidR="00C659FA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y próximas generaciones</w:t>
      </w:r>
      <w:r w:rsidR="007C633F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9D3952" w14:textId="77777777" w:rsidR="001B32D2" w:rsidRPr="00B72AFF" w:rsidRDefault="001B32D2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lastRenderedPageBreak/>
        <w:t>☐</w:t>
      </w:r>
      <w:r w:rsidR="004E742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</w:t>
      </w:r>
      <w:r w:rsidR="00550FB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puesta en valor del patrimonio, así como la disponibilidad de los r</w:t>
      </w:r>
      <w:r w:rsidR="00C659FA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esultados obtenidos para futuras investigaciones, l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 cual incluye una base de datos precisa y accesible con los datos de los materiales/fuentes estudiadas</w:t>
      </w:r>
      <w:r w:rsidR="00550FB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</w:p>
    <w:p w14:paraId="2AACA6BA" w14:textId="77777777" w:rsidR="000641D0" w:rsidRPr="00B72AFF" w:rsidRDefault="00485B75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Extremar al máximo la intervención sobre materiales/fuentes inéditas. En caso de poder usarse otras técnicas analíticas menos o no destructivas, hacer uso de ellas</w:t>
      </w:r>
      <w:r w:rsidR="000641D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3C85004B" w14:textId="77777777" w:rsidR="00C659FA" w:rsidRPr="00B72AFF" w:rsidRDefault="00C659FA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Señalar en agradecimientos si la investigación forma parte de un Proyecto de Investigación autorizado, así como la fuente de financiación si existiese. </w:t>
      </w:r>
    </w:p>
    <w:p w14:paraId="5569109A" w14:textId="77777777" w:rsidR="0035555D" w:rsidRPr="00B72AFF" w:rsidRDefault="0035555D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AED3E4" w14:textId="77777777" w:rsidR="00810F90" w:rsidRDefault="00810F9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003938A" w14:textId="77777777" w:rsidR="00271810" w:rsidRPr="00B72AFF" w:rsidRDefault="0027181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  <w:t>En Santander, a         de           del 201_</w:t>
      </w:r>
    </w:p>
    <w:p w14:paraId="043FFA71" w14:textId="77777777" w:rsidR="00B25430" w:rsidRPr="00B72AFF" w:rsidRDefault="00B2543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5776458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0514CA6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9F65D7C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B6D4E83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B69EA28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948D008" w14:textId="77777777" w:rsidR="009E0D79" w:rsidRDefault="00FA2E43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Fdo.</w:t>
      </w:r>
      <w:r w:rsidR="0035555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Fdo.</w:t>
      </w:r>
      <w:r w:rsidR="0035555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sectPr w:rsidR="009E0D79" w:rsidSect="003744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E01E" w14:textId="77777777" w:rsidR="00B9765C" w:rsidRDefault="00B9765C" w:rsidP="00DA0053">
      <w:pPr>
        <w:spacing w:after="0" w:line="240" w:lineRule="auto"/>
      </w:pPr>
      <w:r>
        <w:separator/>
      </w:r>
    </w:p>
  </w:endnote>
  <w:endnote w:type="continuationSeparator" w:id="0">
    <w:p w14:paraId="407BD928" w14:textId="77777777" w:rsidR="00B9765C" w:rsidRDefault="00B9765C" w:rsidP="00D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7D64" w14:textId="77777777" w:rsidR="003C2B4D" w:rsidRDefault="003C2B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528775" w14:textId="77777777" w:rsidR="00DA0053" w:rsidRDefault="00DA0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672" w14:textId="77777777" w:rsidR="00B9765C" w:rsidRDefault="00B9765C" w:rsidP="00DA0053">
      <w:pPr>
        <w:spacing w:after="0" w:line="240" w:lineRule="auto"/>
      </w:pPr>
      <w:r>
        <w:separator/>
      </w:r>
    </w:p>
  </w:footnote>
  <w:footnote w:type="continuationSeparator" w:id="0">
    <w:p w14:paraId="24617485" w14:textId="77777777" w:rsidR="00B9765C" w:rsidRDefault="00B9765C" w:rsidP="00DA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744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21C18"/>
    <w:multiLevelType w:val="hybridMultilevel"/>
    <w:tmpl w:val="0B6A2BEE"/>
    <w:lvl w:ilvl="0" w:tplc="3D289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0MzAwMjW1sDBQ0lEKTi0uzszPAykwqgUAZBh1HCwAAAA="/>
  </w:docVars>
  <w:rsids>
    <w:rsidRoot w:val="009E0D79"/>
    <w:rsid w:val="00031A10"/>
    <w:rsid w:val="00051D2E"/>
    <w:rsid w:val="000641D0"/>
    <w:rsid w:val="00082FD7"/>
    <w:rsid w:val="000B3CFB"/>
    <w:rsid w:val="000D7021"/>
    <w:rsid w:val="001714EA"/>
    <w:rsid w:val="001873AD"/>
    <w:rsid w:val="001B32D2"/>
    <w:rsid w:val="001C32B4"/>
    <w:rsid w:val="001C5D89"/>
    <w:rsid w:val="001D1869"/>
    <w:rsid w:val="001F1504"/>
    <w:rsid w:val="002174B9"/>
    <w:rsid w:val="00222EAF"/>
    <w:rsid w:val="00230E1E"/>
    <w:rsid w:val="00252CC4"/>
    <w:rsid w:val="00265BE4"/>
    <w:rsid w:val="00271810"/>
    <w:rsid w:val="00277F49"/>
    <w:rsid w:val="00292B80"/>
    <w:rsid w:val="00294234"/>
    <w:rsid w:val="002E2862"/>
    <w:rsid w:val="00301F3D"/>
    <w:rsid w:val="00325C3C"/>
    <w:rsid w:val="003428B3"/>
    <w:rsid w:val="0035555D"/>
    <w:rsid w:val="00374405"/>
    <w:rsid w:val="00392C23"/>
    <w:rsid w:val="003A3B25"/>
    <w:rsid w:val="003A6E03"/>
    <w:rsid w:val="003B773E"/>
    <w:rsid w:val="003C1438"/>
    <w:rsid w:val="003C2B4D"/>
    <w:rsid w:val="003C3B29"/>
    <w:rsid w:val="00405C2C"/>
    <w:rsid w:val="00411F02"/>
    <w:rsid w:val="00426B93"/>
    <w:rsid w:val="00455CA5"/>
    <w:rsid w:val="00464723"/>
    <w:rsid w:val="00465272"/>
    <w:rsid w:val="0046566A"/>
    <w:rsid w:val="00475406"/>
    <w:rsid w:val="00485B75"/>
    <w:rsid w:val="00487ABD"/>
    <w:rsid w:val="004D5376"/>
    <w:rsid w:val="004E742D"/>
    <w:rsid w:val="005444E3"/>
    <w:rsid w:val="00550FB9"/>
    <w:rsid w:val="00554E66"/>
    <w:rsid w:val="005B0810"/>
    <w:rsid w:val="005F47B1"/>
    <w:rsid w:val="00640A53"/>
    <w:rsid w:val="00653237"/>
    <w:rsid w:val="00660D13"/>
    <w:rsid w:val="00661667"/>
    <w:rsid w:val="00672B7B"/>
    <w:rsid w:val="00695145"/>
    <w:rsid w:val="006C33D4"/>
    <w:rsid w:val="006C41D1"/>
    <w:rsid w:val="006C4F98"/>
    <w:rsid w:val="00731BE5"/>
    <w:rsid w:val="00735ED5"/>
    <w:rsid w:val="00746E6D"/>
    <w:rsid w:val="007604CD"/>
    <w:rsid w:val="00772FB1"/>
    <w:rsid w:val="0077468B"/>
    <w:rsid w:val="00791185"/>
    <w:rsid w:val="007C2014"/>
    <w:rsid w:val="007C633F"/>
    <w:rsid w:val="007D65EE"/>
    <w:rsid w:val="007E4796"/>
    <w:rsid w:val="007F2BF9"/>
    <w:rsid w:val="007F56AD"/>
    <w:rsid w:val="00810F90"/>
    <w:rsid w:val="00812CD3"/>
    <w:rsid w:val="00843DA0"/>
    <w:rsid w:val="00846A57"/>
    <w:rsid w:val="00875164"/>
    <w:rsid w:val="0089621E"/>
    <w:rsid w:val="008A5F36"/>
    <w:rsid w:val="008D1719"/>
    <w:rsid w:val="008E0A73"/>
    <w:rsid w:val="008E6136"/>
    <w:rsid w:val="008F5146"/>
    <w:rsid w:val="009625AF"/>
    <w:rsid w:val="00976106"/>
    <w:rsid w:val="009805F1"/>
    <w:rsid w:val="0098141A"/>
    <w:rsid w:val="009C2824"/>
    <w:rsid w:val="009D3E7A"/>
    <w:rsid w:val="009E0D79"/>
    <w:rsid w:val="00A0034E"/>
    <w:rsid w:val="00A87E23"/>
    <w:rsid w:val="00A93959"/>
    <w:rsid w:val="00AA30F8"/>
    <w:rsid w:val="00B10C92"/>
    <w:rsid w:val="00B204BB"/>
    <w:rsid w:val="00B25430"/>
    <w:rsid w:val="00B27B72"/>
    <w:rsid w:val="00B35173"/>
    <w:rsid w:val="00B72AFF"/>
    <w:rsid w:val="00B75D32"/>
    <w:rsid w:val="00B9765C"/>
    <w:rsid w:val="00BC3959"/>
    <w:rsid w:val="00BD6D2B"/>
    <w:rsid w:val="00BF485B"/>
    <w:rsid w:val="00C659FA"/>
    <w:rsid w:val="00CA040D"/>
    <w:rsid w:val="00CE443A"/>
    <w:rsid w:val="00D243E8"/>
    <w:rsid w:val="00D26299"/>
    <w:rsid w:val="00D2776B"/>
    <w:rsid w:val="00D67B6C"/>
    <w:rsid w:val="00D72EC8"/>
    <w:rsid w:val="00D90A6F"/>
    <w:rsid w:val="00D936FD"/>
    <w:rsid w:val="00DA0053"/>
    <w:rsid w:val="00DF0604"/>
    <w:rsid w:val="00E3742E"/>
    <w:rsid w:val="00E440CE"/>
    <w:rsid w:val="00E54C94"/>
    <w:rsid w:val="00E7612F"/>
    <w:rsid w:val="00EC1F9F"/>
    <w:rsid w:val="00F13912"/>
    <w:rsid w:val="00F22B9C"/>
    <w:rsid w:val="00F26BBC"/>
    <w:rsid w:val="00F5672D"/>
    <w:rsid w:val="00FA2E43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45FBCB"/>
  <w15:docId w15:val="{F3D61BAF-3BA7-48DD-882E-17C6685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05"/>
  </w:style>
  <w:style w:type="paragraph" w:styleId="Ttulo3">
    <w:name w:val="heading 3"/>
    <w:basedOn w:val="Normal"/>
    <w:link w:val="Ttulo3Car"/>
    <w:uiPriority w:val="9"/>
    <w:qFormat/>
    <w:rsid w:val="00D2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C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CC4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2629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262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9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53"/>
  </w:style>
  <w:style w:type="paragraph" w:styleId="Piedepgina">
    <w:name w:val="footer"/>
    <w:basedOn w:val="Normal"/>
    <w:link w:val="Piedepgina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CE74C-4B17-4C36-870C-7C6DA14534CE}"/>
</file>

<file path=customXml/itemProps2.xml><?xml version="1.0" encoding="utf-8"?>
<ds:datastoreItem xmlns:ds="http://schemas.openxmlformats.org/officeDocument/2006/customXml" ds:itemID="{67599CD7-9553-40E4-BD59-A66C758F7488}"/>
</file>

<file path=customXml/itemProps3.xml><?xml version="1.0" encoding="utf-8"?>
<ds:datastoreItem xmlns:ds="http://schemas.openxmlformats.org/officeDocument/2006/customXml" ds:itemID="{1D0B30D2-3A0C-4AB1-864B-C88F8EF063AC}"/>
</file>

<file path=customXml/itemProps4.xml><?xml version="1.0" encoding="utf-8"?>
<ds:datastoreItem xmlns:ds="http://schemas.openxmlformats.org/officeDocument/2006/customXml" ds:itemID="{4ED1A147-4E9A-4F6F-9C37-80FF3E2DE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63</cp:revision>
  <cp:lastPrinted>2015-01-14T09:29:00Z</cp:lastPrinted>
  <dcterms:created xsi:type="dcterms:W3CDTF">2016-07-28T17:33:00Z</dcterms:created>
  <dcterms:modified xsi:type="dcterms:W3CDTF">2021-05-27T08:54:00Z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